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6915</w:t>
        <w:t xml:space="preserve">.  </w:t>
      </w:r>
      <w:r>
        <w:rPr>
          <w:b/>
        </w:rPr>
        <w:t xml:space="preserve">Dirigo Health Enterprise Fund</w:t>
      </w:r>
    </w:p>
    <w:p>
      <w:pPr>
        <w:jc w:val="both"/>
        <w:spacing w:before="100" w:after="100"/>
        <w:ind w:start="360"/>
        <w:ind w:firstLine="360"/>
      </w:pPr>
      <w:r>
        <w:rPr/>
      </w:r>
      <w:r>
        <w:rPr/>
      </w:r>
      <w:r>
        <w:t xml:space="preserve">The Dirigo Health Enterprise Fund is created as an enterprise fund for the deposit of any funds advanced for initial operating expenses, payments made by employers and individuals, any savings offset payments made pursuant to former </w:t>
      </w:r>
      <w:r>
        <w:t>section 6913</w:t>
      </w:r>
      <w:r>
        <w:t xml:space="preserve">, any access payments made pursuant to </w:t>
      </w:r>
      <w:r>
        <w:t>section 6917</w:t>
      </w:r>
      <w:r>
        <w:t xml:space="preserve"> and any funds received from any public or private source.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359, §3 (AMD);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386, §D3 (AMD). PL 2009, c. 359, §3 (AMD).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§6915. Dirigo Health Enterprise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§6915. Dirigo Health Enterprise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§6915. DIRIGO HEALTH ENTERPRISE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