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Cancellation of reimbursement insurance policy</w:t>
      </w:r>
    </w:p>
    <w:p>
      <w:pPr>
        <w:jc w:val="both"/>
        <w:spacing w:before="100" w:after="100"/>
        <w:ind w:start="360"/>
        <w:ind w:firstLine="360"/>
      </w:pPr>
      <w:r>
        <w:rPr/>
      </w:r>
      <w:r>
        <w:rPr/>
      </w:r>
      <w:r>
        <w:t xml:space="preserve">An insurer that issued a reimbursement insurance policy may not cancel or nonrenew the policy for any reason, including at the request of the policyholder, until the insurer has delivered a notice of such action to the superintendent at least 45 days before such action. The cancellation or nonrenewal of a reimbursement insurance policy does not reduce the insurer's obligations as to service contracts issued by providers prior to the date of cancellation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§7107. Cancellation of reimbursement insurance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Cancellation of reimbursement insurance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§7107. CANCELLATION OF REIMBURSEMENT INSURANCE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