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7501</w:t>
        <w:t xml:space="preserve">.  </w:t>
      </w:r>
      <w:r>
        <w:rPr>
          <w:b/>
        </w:rPr>
        <w:t xml:space="preserve">Short title</w:t>
      </w:r>
    </w:p>
    <w:p>
      <w:pPr>
        <w:jc w:val="both"/>
        <w:spacing w:before="100" w:after="100"/>
        <w:ind w:start="1080" w:hanging="720"/>
      </w:pPr>
      <w:r>
        <w:rPr>
          <w:b/>
        </w:rPr>
        <w:t>(CONFLICT)</w:t>
      </w:r>
    </w:p>
    <w:p>
      <w:pPr>
        <w:jc w:val="both"/>
        <w:spacing w:before="100" w:after="100"/>
        <w:ind w:start="1080" w:hanging="720"/>
      </w:pPr>
      <w:r>
        <w:rPr>
          <w:b/>
        </w:rPr>
        <w:t>(CONTAINS TEXT WITH VARYING EFFECTIVE DATES)</w:t>
      </w:r>
    </w:p>
    <w:p>
      <w:pPr>
        <w:jc w:val="both"/>
        <w:spacing w:before="100" w:after="100"/>
        <w:ind w:start="360"/>
      </w:pPr>
      <w:r>
        <w:rPr>
          <w:b/>
        </w:rPr>
        <w:t>(WHOLE SECTION FUTURE CONFLICT: Text as enacted by PL 2021, c. 391, §2)</w:t>
      </w:r>
    </w:p>
    <w:p>
      <w:pPr>
        <w:jc w:val="both"/>
        <w:spacing w:before="100" w:after="100"/>
        <w:ind w:start="360"/>
      </w:pPr>
      <w:r>
        <w:rPr>
          <w:b/>
        </w:rPr>
        <w:t>(WHOLE SECTION TEXT EFFECTIVE UPON CONTINGENCY:  See PL 2021, c. 391, §4)</w:t>
      </w:r>
    </w:p>
    <w:p>
      <w:pPr>
        <w:jc w:val="both"/>
        <w:spacing w:before="100" w:after="100"/>
        <w:ind w:start="360"/>
        <w:ind w:firstLine="360"/>
      </w:pPr>
      <w:r>
        <w:rPr/>
      </w:r>
      <w:r>
        <w:rPr/>
      </w:r>
      <w:r>
        <w:t xml:space="preserve">This chapter may be known and cited as "the Maine Health Care Act."</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§7501.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