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Fees and taxes</w:t>
      </w:r>
    </w:p>
    <w:p>
      <w:pPr>
        <w:jc w:val="both"/>
        <w:spacing w:before="100" w:after="100"/>
        <w:ind w:start="360"/>
        <w:ind w:firstLine="360"/>
      </w:pPr>
      <w:r>
        <w:rPr/>
      </w:r>
      <w:r>
        <w:rPr/>
      </w:r>
      <w:r>
        <w:t xml:space="preserve">A special purpose reinsurance vehicle application under </w:t>
      </w:r>
      <w:r>
        <w:t>section 782, subsection 2</w:t>
      </w:r>
      <w:r>
        <w:t xml:space="preserve"> is subject to the application fee specified in </w:t>
      </w:r>
      <w:r>
        <w:t>section 601, subsection 1</w:t>
      </w:r>
      <w:r>
        <w:t xml:space="preserve">.  A reinsurance vehicle is also responsible for expenses and costs incurred by the bureau in accordance with </w:t>
      </w:r>
      <w:r>
        <w:t>section 228</w:t>
      </w:r>
      <w:r>
        <w:t xml:space="preserve">.  The reinsurance vehicle is not subject to state premium or other taxes incidental to the operation of its business as long as the business remains within the limitations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§791.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