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798</w:t>
        <w:t xml:space="preserve">.  </w:t>
      </w:r>
      <w:r>
        <w:rPr>
          <w:b/>
        </w:rPr>
        <w:t xml:space="preserve">Exemption from insurance laws within limitations</w:t>
      </w:r>
    </w:p>
    <w:p>
      <w:pPr>
        <w:jc w:val="both"/>
        <w:spacing w:before="100" w:after="0"/>
        <w:ind w:start="360"/>
        <w:ind w:firstLine="360"/>
      </w:pPr>
      <w:r>
        <w:rPr>
          <w:b/>
        </w:rPr>
        <w:t>1</w:t>
        <w:t xml:space="preserve">.  </w:t>
      </w:r>
      <w:r>
        <w:rPr>
          <w:b/>
        </w:rPr>
        <w:t xml:space="preserve">Titles consistent.</w:t>
        <w:t xml:space="preserve"> </w:t>
      </w:r>
      <w:r>
        <w:t xml:space="preserve"> </w:t>
      </w:r>
      <w:r>
        <w:t xml:space="preserve">A special purpose reinsurance vehicle is subject to </w:t>
      </w:r>
      <w:r>
        <w:t>chapters 1</w:t>
      </w:r>
      <w:r>
        <w:t xml:space="preserve">, </w:t>
      </w:r>
      <w:r>
        <w:t>3</w:t>
      </w:r>
      <w:r>
        <w:t xml:space="preserve"> and </w:t>
      </w:r>
      <w:r>
        <w:t>5</w:t>
      </w:r>
      <w:r>
        <w:t xml:space="preserve"> to the extent 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Provisions not applicable.</w:t>
        <w:t xml:space="preserve"> </w:t>
      </w:r>
      <w:r>
        <w:t xml:space="preserve"> </w:t>
      </w:r>
      <w:r>
        <w:t xml:space="preserve">No other provisions of this Title are applicable to a special purpose reinsurance vehicle organized under this subchapter, except as expressly provided in this subchapter or in rules adopted by the superintendent pursuant to </w:t>
      </w:r>
      <w:r>
        <w:t>section 797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3</w:t>
        <w:t xml:space="preserve">.  </w:t>
      </w:r>
      <w:r>
        <w:rPr>
          <w:b/>
        </w:rPr>
        <w:t xml:space="preserve">Variance.</w:t>
        <w:t xml:space="preserve"> </w:t>
      </w:r>
      <w:r>
        <w:t xml:space="preserve"> </w:t>
      </w:r>
      <w:r>
        <w:t xml:space="preserve">The superintendent may issue an order exempting a special purpose reinsurance vehicle or a protected cell from provisions of this subchapter upon a finding that the variance is necessary for conformance to the laws or regulatory requirements of a ceding insurer's state of domicile and that the variance is consistent with the purposes of this subchapter given the nature of the risks to be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386,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§798. Exemption from insurance laws within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§798. Exemption from insurance laws within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§798. EXEMPTION FROM INSURANCE LAWS WITHIN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