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GROUP INSURANCE AND PENSION PLANS</w:t>
      </w:r>
    </w:p>
    <w:p>
      <w:pPr>
        <w:jc w:val="center"/>
        <w:ind w:start="360"/>
        <w:spacing w:before="300" w:after="300"/>
      </w:pPr>
      <w:r>
        <w:rPr>
          <w:b/>
        </w:rPr>
        <w:t>SUBCHAPTER</w:t>
        <w:t xml:space="preserve"> </w:t>
        <w:t>1</w:t>
      </w:r>
    </w:p>
    <w:p>
      <w:pPr>
        <w:jc w:val="center"/>
        <w:ind w:start="360"/>
        <w:spacing w:before="300" w:after="300"/>
      </w:pPr>
      <w:r>
        <w:rPr>
          <w:b/>
        </w:rPr>
        <w:t xml:space="preserve">CIVIL EMPLOYEES</w:t>
      </w:r>
    </w:p>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GROUP LIFE INSURANCE</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PENSION PLANS AND BENEFITS</w:t>
      </w:r>
    </w:p>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TAX SHELTERED ANNUITIES FOR EMPLOYEES OF SCHOOL ADMINISTRATIVE UNITS</w:t>
      </w:r>
    </w:p>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GROUP INSURANCE AND PENSION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GROUP INSURANCE AND PENSION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13. GROUP INSURANCE AND PENSION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