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CASUALTY INSURANCE</w:t>
      </w:r>
    </w:p>
    <w:p>
      <w:pPr>
        <w:jc w:val="center"/>
        <w:ind w:start="360"/>
        <w:spacing w:before="300" w:after="300"/>
      </w:pPr>
      <w:r>
        <w:rPr>
          <w:b/>
        </w:rPr>
        <w:t>SUBCHAPTER</w:t>
        <w:t xml:space="preserve"> </w:t>
        <w:t>1</w:t>
      </w:r>
    </w:p>
    <w:p>
      <w:pPr>
        <w:jc w:val="center"/>
        <w:ind w:start="360"/>
        <w:spacing w:before="300" w:after="300"/>
      </w:pPr>
      <w:r>
        <w:rPr>
          <w:b/>
        </w:rPr>
        <w:t xml:space="preserve">FOREIGN FRATERNAL BENEFIT ASSOCIATIONS</w:t>
      </w:r>
    </w:p>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RECIPROCAL CONTRACTS OF INDEMNITY</w:t>
      </w:r>
    </w:p>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ASSESSMENT PLAN</w:t>
      </w:r>
    </w:p>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CANCELLATION</w:t>
      </w:r>
    </w:p>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7.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