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§2320-B. Acupuncture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§2320-B. Acupuncture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§2320-B. ACUPUNCTURE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