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Society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Society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§2507. SOCIETY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