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Immunity from civil liability for volunteer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IMMUNITY FROM CIVIL LIABILITY FOR VOLUNTEER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