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 Collection of information regarding lawful firearm purchases</w:t>
      </w:r>
    </w:p>
    <w:p>
      <w:pPr>
        <w:jc w:val="both"/>
        <w:spacing w:before="100" w:after="100"/>
        <w:ind w:start="360"/>
        <w:ind w:firstLine="360"/>
      </w:pPr>
      <w:r>
        <w:rPr/>
      </w:r>
      <w:r>
        <w:rPr/>
      </w:r>
      <w:r>
        <w:t xml:space="preserve">Except as necessary for the purposes of investigating suspected criminal activity or terrorism, administering civil, criminal or juvenile justice pursuant to </w:t>
      </w:r>
      <w:r>
        <w:t>Title 16, chapter 9</w:t>
      </w:r>
      <w:r>
        <w:t xml:space="preserve"> or protecting a person's health and welfare under </w:t>
      </w:r>
      <w:r>
        <w:t>Title 34‑B, chapter 3, subchapter 4, article 3</w:t>
      </w:r>
      <w:r>
        <w:t xml:space="preserve">, the State Police may not collect in its records any surveillance video, information or data concerning lawful firearm purchases obtained by the Maine Information and Analysis Center created by executive order of the Governor issued December 8, 2006.</w:t>
      </w:r>
      <w:r>
        <w:t xml:space="preserve">  </w:t>
      </w:r>
      <w:r xmlns:wp="http://schemas.openxmlformats.org/drawingml/2010/wordprocessingDrawing" xmlns:w15="http://schemas.microsoft.com/office/word/2012/wordml">
        <w:rPr>
          <w:rFonts w:ascii="Arial" w:hAnsi="Arial" w:cs="Arial"/>
          <w:sz w:val="22"/>
          <w:szCs w:val="22"/>
        </w:rPr>
        <w:t xml:space="preserve">[PL 2021,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  Collection of information regarding lawful firearm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Collection of information regarding lawful firearm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§1510.  COLLECTION OF INFORMATION REGARDING LAWFUL FIREARM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