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Courts to submit criminal records to the State Bureau of Identification</w:t>
      </w:r>
    </w:p>
    <w:p>
      <w:pPr>
        <w:jc w:val="both"/>
        <w:spacing w:before="100" w:after="100"/>
        <w:ind w:start="360"/>
        <w:ind w:firstLine="360"/>
      </w:pPr>
      <w:r>
        <w:rPr/>
      </w:r>
      <w:r>
        <w:rPr/>
      </w:r>
      <w:r>
        <w:t xml:space="preserve">At the conclusion of a juvenile court proceeding or at the conclusion of a prosecution for a criminal offense except a violation of </w:t>
      </w:r>
      <w:r>
        <w:t>Title 12</w:t>
      </w:r>
      <w:r>
        <w:t xml:space="preserve"> or </w:t>
      </w:r>
      <w:r>
        <w:t>Title 29‑A</w:t>
      </w:r>
      <w:r>
        <w:t xml:space="preserve"> that is a Class D or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court shall transmit to the State Bureau of Identification an abstract duly authorized on forms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§3 (RPR). PL 1995, c. 65, §A76 (AMD). PL 1995, c. 65, §§A153,C15 (AFF). PL 1999, c. 260, §B17 (RPR). PL 1999, c. 260, §B18 (AFF). PL 2009, c. 447,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Courts to submit criminal records to the State Bureau of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§1547. COURTS TO SUBMIT CRIMINAL RECORDS TO THE STATE BUREAU OF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