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1670</w:t>
        <w:t xml:space="preserve">.  </w:t>
      </w:r>
      <w:r>
        <w:rPr>
          <w:b/>
        </w:rPr>
        <w:t xml:space="preserve">Disposition of records and information -- Article V</w:t>
      </w:r>
    </w:p>
    <w:p>
      <w:pPr>
        <w:jc w:val="both"/>
        <w:spacing w:before="100" w:after="100"/>
        <w:ind w:start="360"/>
        <w:ind w:firstLine="360"/>
      </w:pPr>
      <w:r>
        <w:rPr/>
      </w:r>
      <w:r>
        <w:rPr/>
      </w:r>
      <w:r>
        <w:t xml:space="preserve">The bureau established and operated pursuant to </w:t>
      </w:r>
      <w:r>
        <w:t>Article IV, subsection 1</w:t>
      </w:r>
      <w:r>
        <w:t xml:space="preserve">, of this compact is designated and recognized as the instrument for the performance of a central criminal intelligence service to the state police departments of the party states. The files, records, data and other information of the bureau and, when made pursuant to the bylaws of the conference, any copies thereof shall be available only to duly designated officers and employees of the state police departments of the party states acting within the scope of their official duty. In the possession of the aforesaid officers and employees, such records, data and other information shall be subject to use and disposition in the same manner and pursuant to the same laws, rules and regulations applicable to similar records, data and information of the officer's or employee's agency and the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§1670. Disposition of records and information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§1670. Disposition of records and information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§1670. DISPOSITION OF RECORDS AND INFORMATION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