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Criminal history record request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Criminal history record request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§1706. CRIMINAL HISTORY RECORD REQUEST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