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2002-A</w:t>
        <w:t xml:space="preserve">.  </w:t>
      </w:r>
      <w:r>
        <w:rPr>
          <w:b/>
        </w:rPr>
        <w:t xml:space="preserve">Assignment of authority</w:t>
      </w:r>
    </w:p>
    <w:p>
      <w:pPr>
        <w:jc w:val="both"/>
        <w:spacing w:before="100" w:after="100"/>
        <w:ind w:start="360"/>
        <w:ind w:firstLine="360"/>
      </w:pPr>
      <w:r>
        <w:rPr/>
      </w:r>
      <w:r>
        <w:rPr/>
      </w:r>
      <w:r>
        <w:t xml:space="preserve">The municipal officers of a municipality without a full-time chief of police may designate, if the Chief of the State Police agrees, the State Police as the issuing authority for that municipality.  The designation must be made by written agreement with the Chief of the State Police.  The agreement must include provisions for termination of the agreement.  During the term of an agreement, the State Police shall perform all the functions of the issuing authority, including suspension and revocation of permits.  The State Police are entitled to receive any fees authorized for performing the functions of an issuing authority.  The Chief of the State Police continues to serve as the issuing authority until the chief receives from the municipal officers written notice of cancellation or revocation of the designation.</w:t>
      </w:r>
      <w:r>
        <w:t xml:space="preserve">  </w:t>
      </w:r>
      <w:r xmlns:wp="http://schemas.openxmlformats.org/drawingml/2010/wordprocessingDrawing" xmlns:w15="http://schemas.microsoft.com/office/word/2012/wordml">
        <w:rPr>
          <w:rFonts w:ascii="Arial" w:hAnsi="Arial" w:cs="Arial"/>
          <w:sz w:val="22"/>
          <w:szCs w:val="22"/>
        </w:rPr>
        <w:t xml:space="preserve">[PL 1993, c. 524,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440 (NEW). PL 1993, c. 340, §1 (AMD). PL 1993, c. 524,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§2002-A. Assignment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§2002-A. Assignment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§2002-A. ASSIGNMENT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