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4-A. Children missing involuntar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A. Children missing involuntari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4-A. CHILDREN MISSING INVOLUNTAR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