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§2395. FILING STATEMENT OF FIRE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