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Suspension or revocation of permit</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permit issued under this subchapter.  The following are grounds for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permit under this subchapter or in the performance of services within the scope of the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permitted,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Violation of subchapter or rule.</w:t>
        <w:t xml:space="preserve"> </w:t>
      </w:r>
      <w:r>
        <w:t xml:space="preserve"> </w:t>
      </w:r>
      <w:r>
        <w:t xml:space="preserve">Any violation of this subchapter or any rule adopted by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4</w:t>
        <w:t xml:space="preserve">.  </w:t>
      </w:r>
      <w:r>
        <w:rPr>
          <w:b/>
        </w:rPr>
        <w:t xml:space="preserve">Incompetence.</w:t>
        <w:t xml:space="preserve"> </w:t>
      </w:r>
      <w:r>
        <w:t xml:space="preserve"> </w:t>
      </w:r>
      <w:r>
        <w:t xml:space="preserve">Incompetence in the practice of storing, using or transporting explosives.  A permittee is deemed incompetent in the practice if the permittee has:</w:t>
      </w:r>
    </w:p>
    <w:p>
      <w:pPr>
        <w:jc w:val="both"/>
        <w:spacing w:before="100" w:after="0"/>
        <w:ind w:start="720"/>
      </w:pPr>
      <w:r>
        <w:rPr/>
        <w:t>A</w:t>
        <w:t xml:space="preserve">.  </w:t>
      </w:r>
      <w:r>
        <w:rPr/>
      </w:r>
      <w:r>
        <w:t xml:space="preserve">Engaged in professional conduct that evidences a lack of ability or fitness to perform the duties for which the person is permitted; or</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Engaged in professional conduct that evidences a lack of knowledge or an inability to apply appropriate principles or skills to carry out the practice for which the person is permitted.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§2474. Suspension or revocation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Suspension or revocation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§2474. SUSPENSION OR REVOCATION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