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§2804-B. PRESERVICE LAW ENFORCEMENT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