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Reports of conviction or misconduct by certificate holder</w:t>
      </w:r>
    </w:p>
    <w:p>
      <w:pPr>
        <w:jc w:val="both"/>
        <w:spacing w:before="100" w:after="100"/>
        <w:ind w:start="360"/>
        <w:ind w:firstLine="360"/>
      </w:pPr>
      <w:r>
        <w:rPr/>
      </w:r>
      <w:r>
        <w:rPr/>
      </w:r>
      <w:r>
        <w:t xml:space="preserve">Notwithstanding any other provision of law, in the event that a certificate holder is convicted of a crime or violation or engages in conduct that could result in suspension or revocation of the  individual's certificate pursuant to </w:t>
      </w:r>
      <w:r>
        <w:t>section 2806‑A</w:t>
      </w:r>
      <w:r>
        <w:t xml:space="preserve"> and the chief administrative officer of the agency employing the certificate holder or considering the individual for employment has knowledge of the conviction or conduct, the chief administrative officer shall within 30 days notify the Director of the Maine Criminal Justice Academy with the name of the certificate holder and a brief description of the conviction or conduct.</w:t>
      </w:r>
      <w:r>
        <w:t xml:space="preserve">  </w:t>
      </w:r>
      <w:r xmlns:wp="http://schemas.openxmlformats.org/drawingml/2010/wordprocessingDrawing" xmlns:w15="http://schemas.microsoft.com/office/word/2012/wordml">
        <w:rPr>
          <w:rFonts w:ascii="Arial" w:hAnsi="Arial" w:cs="Arial"/>
          <w:sz w:val="22"/>
          <w:szCs w:val="22"/>
        </w:rPr>
        <w:t xml:space="preserve">[PL 2013, c. 147,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 §6 (NEW). PL 1983, c. 544, §1 (NEW). PL 1985, c. 506, §A49 (RPR). PL 1995, c. 131, §3 (AMD). PL 2005, c. 331, §28 (AMD). PL 2013, c. 147,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§2807. Reports of conviction or misconduct by certificate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Reports of conviction or misconduct by certificate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§2807. REPORTS OF CONVICTION OR MISCONDUCT BY CERTIFICATE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