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2901-A</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Public Safety and shall coordinate and supervise the activities and programs of the bureaus and agency that are part of the department; undertake comprehensive planning and analysis with respect to the functions and responsibilities of the department; develop and implement, whenever necessary, procedures and practices to promote economy and coordination within the department; and actively seek cooperation between the department and all other law enforcement officers and agencies in the State. From time to time, the commissioner shall recommend to the Governor and Legislature such changes in the laws relating to the organization, functions, services or procedures of the agency and bureaus of the department as the commissioner considers desirable. 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317,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§11 (NEW). PL 2009, c. 317,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§2901-A.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§2901-A.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§2901-A.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