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w:t>
        <w:t xml:space="preserve">.  </w:t>
      </w:r>
      <w:r>
        <w:rPr>
          <w:b/>
        </w:rPr>
        <w:t xml:space="preserve">Rules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of Public Safety is authorized and empowered to make and enforce rules, subject to the approval of the Governor, governing the use of public ways and parking areas maintained by the State at the capitol area or other state-controlled locations in Augusta.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§13 (NEW).]</w:t>
      </w:r>
    </w:p>
    <w:p>
      <w:pPr>
        <w:jc w:val="both"/>
        <w:spacing w:before="100" w:after="0"/>
        <w:ind w:start="360"/>
        <w:ind w:firstLine="360"/>
      </w:pPr>
      <w:r>
        <w:rPr>
          <w:b/>
        </w:rPr>
        <w:t>2</w:t>
        <w:t xml:space="preserve">.  </w:t>
      </w:r>
      <w:r>
        <w:rPr>
          <w:b/>
        </w:rPr>
        <w:t xml:space="preserve">Fees.</w:t>
        <w:t xml:space="preserve"> </w:t>
      </w:r>
      <w:r>
        <w:t xml:space="preserve"> </w:t>
      </w:r>
      <w:r>
        <w:t xml:space="preserve">The Commissioner of Public Safety may by rule establish a method by which persons charged with the violation of parking regulations may waive all court action by payment of specified fees within specified periods of time. These rules may provide that a vehicle unlawfully parked is prima facie evidence of the unlawful parking of the vehicle by the person in whose name the vehicle is registered. The specified fee for any violation must be at least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§13 (NEW).]</w:t>
      </w:r>
    </w:p>
    <w:p>
      <w:pPr>
        <w:jc w:val="both"/>
        <w:spacing w:before="100" w:after="100"/>
        <w:ind w:start="360"/>
        <w:ind w:firstLine="360"/>
      </w:pPr>
      <w:r>
        <w:rPr/>
      </w:r>
      <w:r>
        <w:rPr/>
      </w:r>
      <w:r>
        <w:t xml:space="preserve">Rules adopted pursuant to this section are routine technical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317, Pt. E,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PL 1987, c. 416, §3 (AMD). PL 1991, c. 528, §RRR (AFF). PL 1991, c. 528, §W1 (AMD). PL 1991, c. 591, §W1 (AMD). PL 1991, c. 665, §§1,2 (AMD). PL 2009, c. 317, Pt. E, §13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§2906.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