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Jurisdiction</w:t>
      </w:r>
    </w:p>
    <w:p>
      <w:pPr>
        <w:jc w:val="both"/>
        <w:spacing w:before="100" w:after="100"/>
        <w:ind w:start="360"/>
        <w:ind w:firstLine="360"/>
      </w:pPr>
      <w:r>
        <w:rPr/>
      </w:r>
      <w:r>
        <w:rPr/>
      </w:r>
      <w:r>
        <w:t xml:space="preserve">The District Court for Southern Kennebec shall have jurisdiction in all proceedings brought under </w:t>
      </w:r>
      <w:r>
        <w:t>sections 2904</w:t>
      </w:r>
      <w:r>
        <w:t xml:space="preserve"> to </w:t>
      </w:r>
      <w:r>
        <w:t>2907</w:t>
      </w:r>
      <w:r>
        <w:t xml:space="preserve">, which court shall take judicial notice of all rules adopted pursuant to </w:t>
      </w:r>
      <w:r>
        <w:t>sections 2904</w:t>
      </w:r>
      <w:r>
        <w:t xml:space="preserve"> to </w:t>
      </w:r>
      <w:r>
        <w:t>2907</w:t>
      </w:r>
      <w:r>
        <w:t xml:space="preserve">. In any prosecution for violation of any rule,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§2909.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§2909.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