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Application of chapter</w:t>
      </w:r>
    </w:p>
    <w:p>
      <w:pPr>
        <w:jc w:val="both"/>
        <w:spacing w:before="100" w:after="100"/>
        <w:ind w:start="360"/>
        <w:ind w:firstLine="360"/>
      </w:pPr>
      <w:r>
        <w:rPr/>
      </w:r>
      <w:r>
        <w:rPr/>
      </w:r>
      <w:r>
        <w:t xml:space="preserve">This chapter applies to all personal property of which possession is transferred to a police department or other law enforcement agency of the State or any political subdivision thereof, under circumstances supporting a reasonable belief that such property was abandoned, lost or stolen, or otherwise illegally possessed, except property seized during search and retained and ultimately returned, destroyed or otherwise disposed of pursuant to a court order or some other law applicable to specific property or circumstance.  This chapter applies to personal property seized during search and retained that is not offered or admitted as evidence and that, after retention by a police department or other law enforcement agency, becomes abandoned.  This chapter does not apply to unclaimed personal property that has been confiscated at courthouses by judicial marshals.  Such property that remains unclaimed for more than 30 days may be disposed of under the direction of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2015, c. 158,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PL 1983, c. 254, §1 (AMD). PL 2015, c. 158,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§3501. Application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Application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§3501. APPLICATION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