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Continuation of grievance arbitration provisions</w:t>
      </w:r>
    </w:p>
    <w:p>
      <w:pPr>
        <w:jc w:val="both"/>
        <w:spacing w:before="100" w:after="100"/>
        <w:ind w:start="360"/>
        <w:ind w:firstLine="360"/>
      </w:pPr>
      <w:r>
        <w:rPr/>
      </w:r>
      <w:r>
        <w:rPr/>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section are routine technical rules as defined in </w:t>
      </w:r>
      <w:r>
        <w:t>Title 5, chapter 375, subchapter 2‑A</w:t>
      </w:r>
      <w:r>
        <w:t xml:space="preserve">.  Nothing in this section expands, limits or modifies the scope of any grievance arbitration provisions, including procedural requirements.</w:t>
      </w:r>
      <w:r>
        <w:t xml:space="preserve">  </w:t>
      </w:r>
      <w:r xmlns:wp="http://schemas.openxmlformats.org/drawingml/2010/wordprocessingDrawing" xmlns:w15="http://schemas.microsoft.com/office/word/2012/wordml">
        <w:rPr>
          <w:rFonts w:ascii="Arial" w:hAnsi="Arial" w:cs="Arial"/>
          <w:sz w:val="22"/>
          <w:szCs w:val="22"/>
        </w:rPr>
        <w:t xml:space="preserve">[PL 2005, c. 324,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§1036.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§1036.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