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1047</w:t>
        <w:t xml:space="preserve">.  </w:t>
      </w:r>
      <w:r>
        <w:rPr>
          <w:b/>
        </w:rPr>
        <w:t xml:space="preserve">Information privileged</w:t>
      </w:r>
    </w:p>
    <w:p>
      <w:pPr>
        <w:jc w:val="both"/>
        <w:spacing w:before="100" w:after="100"/>
        <w:ind w:start="360"/>
        <w:ind w:firstLine="360"/>
      </w:pPr>
      <w:r>
        <w:rPr/>
      </w:r>
      <w:r>
        <w:rPr/>
      </w:r>
      <w:r>
        <w:t xml:space="preserve">All information transmitted to the bureau, the commission or its duly authorized representatives pursuant to this chapter is absolutely privileged and may not be made the subject matter or basis in any action of slander or libel in any court in this State.  The privileged nature of any such information may not limit or affect the use of that information in any prosecution or action to enforce </w:t>
      </w:r>
      <w:r>
        <w:t>Title 39‑A, section 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§36 (AMD); PL 1991, c. 885, Pt. E,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§7 (AMD). PL 1979, c. 651, §§8,47 (AMD). PL 1987, c. 77, §1 (AMD). PL 1991, c. 885, §E36 (AMD). PL 1991, c. 885, §E47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§1047. Information privileged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§1047. Information privileged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§1047. INFORMATION PRIVILEGED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