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he so determines, he shall issue an order requiring arbitration and requesting the parties to select one or more arbitrators.  If the parties, within 10 days after the issuance of the order, have not selected an arbitrator or an arbitration panel, the board shall then order each party to select one arbitrator and, if these 2 arbitrators cannot in 5 days select a 3rd neutral arbitrator, the board shall submit a list from which the parties may alternately strike names until a single name is left, who shall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Any hearing shall be informal and the rules of evidence for judicial proceedings shall not be binding.  Any documentary evidence and other information deemed relevant by the arbitrator may be received in evidence. The arbitrator may administer oaths and require by subpoena attendance and testimony of witnesses and production of books and records and other evidence relating to the issues presented. The arbitrator shall have a period of 30 days from the termination of the hearing in which to submit his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he may determine, initiate an arbitration proceeding by notifying the parties of his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shall have a period of 30 days from the termination of the hearing in which to submit his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shall be filed with the Maine Labor Relations Board at the offices of its executive director simultaneously with the submissions of the recommendations and award to the parties.  In the event the parties settle their dispute during the arbitration or mediation-arbitration proceeding, the arbitrator, the chairman of the arbitration panel or the mediator-arbitrator shall submit a report of his activities to the Executive Director of the Maine Labor Relations Board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§1285. Obligation to bargain; methods of resolving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Obligation to bargain; methods of resolving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§1285. OBLIGATION TO BARGAIN; METHODS OF RESOLVING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