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1411-F</w:t>
        <w:t xml:space="preserve">.  </w:t>
      </w:r>
      <w:r>
        <w:rPr>
          <w:b/>
        </w:rPr>
        <w:t xml:space="preserve">Receipt and disbursement of funds</w:t>
      </w:r>
    </w:p>
    <w:p>
      <w:pPr>
        <w:jc w:val="both"/>
        <w:spacing w:before="100" w:after="100"/>
        <w:ind w:start="360"/>
        <w:ind w:firstLine="360"/>
      </w:pPr>
      <w:r>
        <w:rPr/>
      </w:r>
      <w:r>
        <w:rPr/>
      </w:r>
      <w:r>
        <w:t xml:space="preserve">The Treasurer of State is the appropriate officer of the State to receive and administer federal grants for rehabilitation programs, as contemplated by the federal Rehabilitation Act of 1973 and acts amendatory and additional to the federal Rehabilitation Act of 1973, and the State Controller shall authorize expenditures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§1411-F. Receipt and disbursement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§1411-F. Receipt and disbursement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§1411-F. RECEIPT AND DISBURSEMENT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