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1414-A</w:t>
        <w:t xml:space="preserve">.  </w:t>
      </w:r>
      <w:r>
        <w:rPr>
          <w:b/>
        </w:rPr>
        <w:t xml:space="preserve">Grants</w:t>
      </w:r>
    </w:p>
    <w:p>
      <w:pPr>
        <w:jc w:val="both"/>
        <w:spacing w:before="100" w:after="100"/>
        <w:ind w:start="360"/>
        <w:ind w:firstLine="360"/>
      </w:pPr>
      <w:r>
        <w:rPr/>
      </w:r>
      <w:r>
        <w:rPr/>
      </w:r>
      <w:r>
        <w:t xml:space="preserve">The department may make grants to establish independent living services.  Funds must be disbursed and audited in accordance with departmental grant policies and procedures.  The department shall submit an annual accounting of the program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§1414-A.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§1414-A.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§1414-A.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