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1418-M</w:t>
        <w:t xml:space="preserve">.  </w:t>
      </w:r>
      <w:r>
        <w:rPr>
          <w:b/>
        </w:rPr>
        <w:t xml:space="preserve">Application</w:t>
      </w:r>
    </w:p>
    <w:p>
      <w:pPr>
        <w:jc w:val="both"/>
        <w:spacing w:before="100" w:after="100"/>
        <w:ind w:start="360"/>
        <w:ind w:firstLine="360"/>
      </w:pPr>
      <w:r>
        <w:rPr/>
      </w:r>
      <w:r>
        <w:rPr/>
      </w:r>
      <w:r>
        <w:t xml:space="preserve">If a vending facility not under the control of the division exists in a building or on property of the State, a county or a municipality, the person having jurisdiction over that building or property shall give preference to the division to continue operation of the vending facility when an existing lease or contract expires or is terminated.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§1418-M.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§1418-M.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§1418-M.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