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Preapprenticeship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§3213. PREAPPRENTICESHIP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