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§3303. INDUSTRY CLUSTERS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