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Rules</w:t>
      </w:r>
    </w:p>
    <w:p>
      <w:pPr>
        <w:jc w:val="both"/>
        <w:spacing w:before="100" w:after="100"/>
        <w:ind w:start="360"/>
        <w:ind w:firstLine="360"/>
      </w:pPr>
      <w:r>
        <w:rPr/>
      </w:r>
      <w:r>
        <w:rPr/>
      </w:r>
      <w:r>
        <w:t xml:space="preserve">The Commissioner of Labor shall adopt rules in accordance with the Maine Administrative Procedure Act, </w:t>
      </w:r>
      <w:r>
        <w:t>Title 5, chapter 375</w:t>
      </w:r>
      <w:r>
        <w:t xml:space="preserve">, relating to sanitation on railroad property as it affects the safety and health of railroad employees, including, but not limited to, enginemen, trainmen, yardmen, maintenance-of-way employees, clerical employees, carmen and enginehouse employees.</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§351.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