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§588. Penalties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Penalties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§588. PENALTIES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