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Enforcement and penalty</w:t>
      </w:r>
    </w:p>
    <w:p>
      <w:pPr>
        <w:jc w:val="both"/>
        <w:spacing w:before="100" w:after="100"/>
        <w:ind w:start="360"/>
        <w:ind w:firstLine="360"/>
      </w:pPr>
      <w:r>
        <w:rPr/>
      </w:r>
      <w:r>
        <w:rPr/>
      </w:r>
      <w:r>
        <w:t xml:space="preserve">The following provisions govern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360"/>
        <w:ind w:firstLine="360"/>
      </w:pPr>
      <w:r>
        <w:rPr>
          <w:b/>
        </w:rPr>
        <w:t>1</w:t>
        <w:t xml:space="preserve">.  </w:t>
      </w:r>
      <w:r>
        <w:rPr>
          <w:b/>
        </w:rPr>
        <w:t xml:space="preserve">Violation.</w:t>
        <w:t xml:space="preserve"> </w:t>
      </w:r>
      <w:r>
        <w:t xml:space="preserve"> </w:t>
      </w:r>
      <w:r>
        <w:t xml:space="preserve">Any employer who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2</w:t>
        <w:t xml:space="preserve">.  </w:t>
      </w:r>
      <w:r>
        <w:rPr>
          <w:b/>
        </w:rPr>
        <w:t xml:space="preserve">Discharge or discrimination.</w:t>
        <w:t xml:space="preserve"> </w:t>
      </w:r>
      <w:r>
        <w:t xml:space="preserve"> </w:t>
      </w:r>
      <w:r>
        <w:t xml:space="preserve">Any employer who discharges or in any other manner discriminates against any employee because the employee makes a complaint to the director, the district attorney or the Attorney General concerning a violation of this subchapter,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3</w:t>
        <w:t xml:space="preserve">.  </w:t>
      </w:r>
      <w:r>
        <w:rPr>
          <w:b/>
        </w:rPr>
        <w:t xml:space="preserve">Injunction.</w:t>
        <w:t xml:space="preserve"> </w:t>
      </w:r>
      <w:r>
        <w:t xml:space="preserve"> </w:t>
      </w:r>
      <w:r>
        <w:t xml:space="preserve">If any provision of this subchapter is violated, the Attorney General may seek an injunction in the Superior Court to enjoin any further violations or to compel the reinstatement of an employee discharged or discriminated against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Enforcement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Enforcement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§602. ENFORCEMENT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