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w:t>
        <w:t xml:space="preserve">.  </w:t>
      </w:r>
      <w:r>
        <w:rPr>
          <w:b/>
        </w:rPr>
        <w:t xml:space="preserve">Waiver of rights prohibited</w:t>
      </w:r>
    </w:p>
    <w:p>
      <w:pPr>
        <w:jc w:val="both"/>
        <w:spacing w:before="100" w:after="100"/>
        <w:ind w:start="360"/>
        <w:ind w:firstLine="360"/>
      </w:pPr>
      <w:r>
        <w:rPr/>
      </w:r>
      <w:r>
        <w:rPr/>
      </w:r>
      <w:r>
        <w:t xml:space="preserve">Any agreement by a worker purporting to waive or modify any of the worker's rights under this subchapter is void as contrary to public policy.</w:t>
      </w:r>
      <w:r>
        <w:t xml:space="preserve">  </w:t>
      </w:r>
      <w:r xmlns:wp="http://schemas.openxmlformats.org/drawingml/2010/wordprocessingDrawing" xmlns:w15="http://schemas.microsoft.com/office/word/2012/wordml">
        <w:rPr>
          <w:rFonts w:ascii="Arial" w:hAnsi="Arial" w:cs="Arial"/>
          <w:sz w:val="22"/>
          <w:szCs w:val="22"/>
        </w:rPr>
        <w:t xml:space="preserve">[PL 2009, c. 201,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§645. Waiver of rights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 Waiver of rights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§645. WAIVER OF RIGHTS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