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Substance use education</w:t>
      </w:r>
    </w:p>
    <w:p>
      <w:pPr>
        <w:jc w:val="both"/>
        <w:spacing w:before="100" w:after="100"/>
        <w:ind w:start="360"/>
        <w:ind w:firstLine="360"/>
      </w:pPr>
      <w:r>
        <w:rPr/>
      </w:r>
      <w:r>
        <w:rPr/>
      </w:r>
      <w:r>
        <w:t xml:space="preserve">All employers shall cooperate fully with the Department of Labor, the Department of Health and Human Services, the Department of Public Safety and any other state agency in programs designed to educate employees about the dangers of substance use and about public and private services available to employees who have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§3 (AMD). PL 2003, c. 689, §B6 (REV). PL 2011, c. 657, Pt. AA, §74 (AMD). PL 2017, c. 407, Pt. A, §111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§688. Substance use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Substance use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§688. SUBSTANCE USE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