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§834-A. ARBITRATION BEFORE THE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