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shall be prima facie evidence that a person customarily and repeatedly offers himself for employment in place of employees involved in a labor, strike or lockout, if such person shall have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§855.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