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he or they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Conciliation; notification of dispute; proceedings in settlement;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Conciliation; notification of dispute; proceedings in settlement;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§934. CONCILIATION; NOTIFICATION OF DISPUTE; PROCEEDINGS IN SETTLEMENT;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