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public employee under </w:t>
      </w:r>
      <w:r>
        <w:t>section 962</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Nothing in this chapter is intended to require the exclusion of principals, assistant principals, other supervisory employees from school system bargaining units which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§1 (AMD).]</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his designee shall decide in each case whether, in order to insure to employees the fullest freedom in exercising the rights guaranteed by this chapter and in order to insure a clear and identifiable community of interest among employees concerned, the unit appropriate for purposes of collective bargaining shall be the public employer unit or any subdivision thereof. No unit shall include both professional and nonprofessional employees unless a majority of such professional employees vote for inclusion in such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§20 (RPR).]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