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said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 Board of Arbitration,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shall have a period of 30 days from the termination of the hearing in which to submit his report to the parties and to the board, unless the aforesaid time limitation shall be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§7 (AMD); PL 1997, c. 741, §12 (AFF).]</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§979-D.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§979-D.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