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979-I</w:t>
        <w:t xml:space="preserve">.  </w:t>
      </w:r>
      <w:r>
        <w:rPr>
          <w:b/>
        </w:rPr>
        <w:t xml:space="preserve">Hearings</w:t>
      </w:r>
    </w:p>
    <w:p>
      <w:pPr>
        <w:jc w:val="both"/>
        <w:spacing w:before="100" w:after="0"/>
        <w:ind w:start="360"/>
        <w:ind w:firstLine="360"/>
      </w:pPr>
      <w:r>
        <w:rPr>
          <w:b/>
        </w:rPr>
        <w:t>1</w:t>
        <w:t xml:space="preserve">.  </w:t>
      </w:r>
      <w:r>
        <w:rPr>
          <w:b/>
        </w:rPr>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r>
      <w:r>
        <w:t xml:space="preserve"> </w:t>
      </w:r>
      <w:r>
        <w:t xml:space="preserve">The chairman shall have the power to administer oaths and to require by subpoena the attendance and testimony of witnesses, the presentation of books, records and other evidence relative or pertinent to the issues presented to the board for determination. Witnesses subpoenaed by the board shall be allowed the same fees as are paid to witnesses in the Superior Court. These fees, together with all necessary expenses of the board, shall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§979-I.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§979-I.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§979-I.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