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979-M</w:t>
        <w:t xml:space="preserve">.  </w:t>
      </w:r>
      <w:r>
        <w:rPr>
          <w:b/>
        </w:rPr>
        <w:t xml:space="preserve">Review of arbitration awards</w:t>
      </w:r>
    </w:p>
    <w:p>
      <w:pPr>
        <w:jc w:val="both"/>
        <w:spacing w:before="100" w:after="0"/>
        <w:ind w:start="360"/>
        <w:ind w:firstLine="360"/>
      </w:pPr>
      <w:r>
        <w:rPr>
          <w:b/>
        </w:rPr>
        <w:t>1</w:t>
        <w:t xml:space="preserve">.  </w:t>
      </w:r>
      <w:r>
        <w:rPr>
          <w:b/>
        </w:rPr>
      </w:r>
      <w:r>
        <w:t xml:space="preserve"> </w:t>
      </w:r>
      <w:r>
        <w:t xml:space="preserve">Either party may seek a review by the Superior Court of a binding determination by an arbitration panel. Such review shall be sought in accordance with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3</w:t>
        <w:t xml:space="preserve">.  </w:t>
      </w:r>
      <w:r>
        <w:rPr>
          <w:b/>
        </w:rPr>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§979-M. Review of arbitration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§979-M. Review of arbitration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§979-M. REVIEW OF ARBITRATION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