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Libraries controlled by associations assisted by towns</w:t>
      </w:r>
    </w:p>
    <w:p>
      <w:pPr>
        <w:jc w:val="both"/>
        <w:spacing w:before="100" w:after="100"/>
        <w:ind w:start="360"/>
        <w:ind w:firstLine="360"/>
      </w:pPr>
      <w:r>
        <w:rPr/>
      </w:r>
      <w:r>
        <w:rPr/>
      </w:r>
      <w:r>
        <w:t xml:space="preserve">Any town or city in which there is a library owned or controlled by a corporation or association or by trustees may levy and assess a tax and make appropriation therefrom annually to procure from that library the free use of its books for all the inhabitants of the town or city, under those restrictions and regulations necessary to ensure the safety and good usage of the books.</w:t>
      </w:r>
      <w:r>
        <w:t xml:space="preserve">  </w:t>
      </w:r>
      <w:r xmlns:wp="http://schemas.openxmlformats.org/drawingml/2010/wordprocessingDrawing" xmlns:w15="http://schemas.microsoft.com/office/word/2012/wordml">
        <w:rPr>
          <w:rFonts w:ascii="Arial" w:hAnsi="Arial" w:cs="Arial"/>
          <w:sz w:val="22"/>
          <w:szCs w:val="22"/>
        </w:rPr>
        <w:t xml:space="preserve">[PL 2003, c. 20,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Libraries controlled by associations assisted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Libraries controlled by associations assisted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§106. LIBRARIES CONTROLLED BY ASSOCIATIONS ASSISTED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