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Entry into force and withdrawal -- Article XI</w:t>
      </w:r>
    </w:p>
    <w:p>
      <w:pPr>
        <w:jc w:val="both"/>
        <w:spacing w:before="100" w:after="100"/>
        <w:ind w:start="360"/>
        <w:ind w:firstLine="360"/>
      </w:pPr>
      <w:r>
        <w:rPr>
          <w:b/>
        </w:rPr>
        <w:t>1</w:t>
        <w:t xml:space="preserve">.  </w:t>
      </w:r>
      <w:r>
        <w:rPr>
          <w:b/>
        </w:rPr>
        <w:t xml:space="preserve">Force and effect.</w:t>
        <w:t xml:space="preserve"> </w:t>
      </w:r>
      <w:r>
        <w:t xml:space="preserve"> </w:t>
      </w:r>
      <w:r>
        <w:t xml:space="preserve">This compact shall enter into force and effect immediately upon its enactment into law by any 2 states. Thereafter, it shall enter into force and effect as to any other state upon the enactment thereof by such state.</w:t>
      </w:r>
    </w:p>
    <w:p>
      <w:pPr>
        <w:jc w:val="both"/>
        <w:spacing w:before="100" w:after="100"/>
        <w:ind w:start="360"/>
        <w:ind w:firstLine="360"/>
      </w:pPr>
      <w:r>
        <w:rPr>
          <w:b/>
        </w:rPr>
        <w:t>2</w:t>
        <w:t xml:space="preserve">.  </w:t>
      </w:r>
      <w:r>
        <w:rPr>
          <w:b/>
        </w:rPr>
        <w:t xml:space="preserve">Withdrawal.</w:t>
        <w:t xml:space="preserve"> </w:t>
      </w:r>
      <w:r>
        <w:t xml:space="preserve"> </w:t>
      </w:r>
      <w:r>
        <w:t xml:space="preserve">This compact shall continue in force with respect to a party state and remain binding upon such state until 6 months after such state has given notice to each other party state of the repeal thereof. Such withdrawal shall not be construed to relieve any party to a library agreement entered into pursuant to this compact from any obligation of that agreement prior to the end of its duration as provided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Entry into force and withdrawal -- 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Entry into force and withdrawal -- 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§151. ENTRY INTO FORCE AND WITHDRAWAL -- 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