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Library agreements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Library agreements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§182. LIBRARY AGREEMENTS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