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Maine State Museum Commission</w:t>
      </w:r>
    </w:p>
    <w:p>
      <w:pPr>
        <w:jc w:val="both"/>
        <w:spacing w:before="100" w:after="100"/>
        <w:ind w:start="360"/>
        <w:ind w:firstLine="360"/>
      </w:pPr>
      <w:r>
        <w:rPr/>
      </w:r>
      <w:r>
        <w:rPr/>
      </w:r>
      <w:r>
        <w:t xml:space="preserve">The Governor shall appoint the Maine State Museum Commission, as established by </w:t>
      </w:r>
      <w:r>
        <w:t>Title 5, section 12004‑G, subsection 7‑C</w:t>
      </w:r>
      <w:r>
        <w:t xml:space="preserve">, consisting of 15 members especially qualified and interested in the several fields of museum activity.   Members are limited to 2 consecutive 5-year terms that expire on August 22nd.  Each member serves for the term of the appointment and until a successor is appointed and qualified.  The commission shall elect a chair and vice-chair from its members.   If a vacancy occurs before the member's term expires, the Governor shall appoint a successor for the unexpired term. Members are entitled to compensation in accordance with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1983, c. 812, §167 (AMD). PL 1989, c. 503, §B113 (AMD). PL 1989, c. 700, §B18 (AMD). PL 1999, c. 706, §4 (AMD). PL 1999, c. 706, §9 (AFF). PL 2007, c. 100,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 Maine State Museum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Maine State Museum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§82. MAINE STATE MUSEUM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