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SALES REPRESENTATIVES</w:t>
      </w:r>
    </w:p>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59. SALES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SALES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59. SALES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