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1061-A</w:t>
        <w:t xml:space="preserve">.  </w:t>
      </w:r>
      <w:r>
        <w:rPr>
          <w:b/>
        </w:rPr>
        <w:t xml:space="preserve">Bed and breakfasts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to a bed and breakfast, as defined in </w:t>
      </w:r>
      <w:r>
        <w:t>section 2, subsection 15, paragraph B‑2</w:t>
      </w:r>
      <w:r>
        <w:t xml:space="preserve">, a license under this section for the sale of spirits, wine and malt liquor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w:t>
      </w:r>
    </w:p>
    <w:p>
      <w:pPr>
        <w:jc w:val="both"/>
        <w:spacing w:before="100" w:after="100"/>
        <w:ind w:start="360"/>
        <w:ind w:firstLine="360"/>
      </w:pPr>
      <w:r>
        <w:rPr>
          <w:b/>
        </w:rPr>
        <w:t>2</w:t>
        <w:t xml:space="preserve">.  </w:t>
      </w:r>
      <w:r>
        <w:rPr>
          <w:b/>
        </w:rPr>
        <w:t xml:space="preserve">Service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 PL 1999, c. 236,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§1061-A. Bed and breakfasts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§1061-A. Bed and breakfasts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§1061-A. BED AND BREAKFASTS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